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278"/>
      </w:tblGrid>
      <w:tr w:rsidR="00B17652" w:rsidRPr="00335F78" w:rsidTr="001C2897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B17652" w:rsidRPr="00335F78" w:rsidRDefault="00B17652" w:rsidP="00DB05BC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IZVJEŠĆE O SAVJETOVANJU S JAVNOŠĆU</w:t>
            </w:r>
          </w:p>
          <w:p w:rsidR="00E174C2" w:rsidRPr="00335F78" w:rsidRDefault="00B17652" w:rsidP="00DB05BC">
            <w:pPr>
              <w:spacing w:line="240" w:lineRule="auto"/>
              <w:jc w:val="both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PROGRAMA ZAŠTITE ZRAKA, OZONSKOG SLOJA, UBLAŽAVANJA KLIMATSKIH PROMJENA I PRILAGODBE KLIMATSKIM PROMJENAMA U PRIMORSKO-GORANSKOJ ŽUPANIJI ZA RAZDOBLJE 2019.-2022.</w:t>
            </w:r>
          </w:p>
          <w:p w:rsidR="00B17652" w:rsidRPr="00335F78" w:rsidRDefault="00DB05BC" w:rsidP="00DB05BC">
            <w:pPr>
              <w:spacing w:line="240" w:lineRule="auto"/>
              <w:jc w:val="both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  <w:p w:rsidR="00B17652" w:rsidRPr="00335F78" w:rsidRDefault="00B17652" w:rsidP="002E5556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Nositelj izrade izvješća: 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P</w:t>
            </w:r>
            <w:r w:rsidR="00E174C2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rimorsko-goranska županija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, UO za prostorno uređenje, graditeljstvo i zaštitu okoliša</w:t>
            </w:r>
            <w:r w:rsidR="00E174C2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, Riva</w:t>
            </w:r>
            <w:r w:rsidR="00005DD7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174C2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10, Rijeka  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E174C2" w:rsidRPr="00335F78" w:rsidRDefault="00E174C2" w:rsidP="002E5556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</w:p>
          <w:p w:rsidR="00B17652" w:rsidRPr="00335F78" w:rsidRDefault="00340B59" w:rsidP="00564900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Rijeka,</w:t>
            </w:r>
            <w:bookmarkStart w:id="0" w:name="_GoBack"/>
            <w:bookmarkEnd w:id="0"/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564900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30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. </w:t>
            </w:r>
            <w:r w:rsidR="00564900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kolovoza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2019.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DB05BC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5B29B2" w:rsidP="00DB05BC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Nacrt </w:t>
            </w:r>
            <w:r w:rsidR="00DB05B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Program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a</w:t>
            </w:r>
            <w:r w:rsidR="00DB05B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zaštite zraka, ozonskog sloja, ublažavanja klimatskih promjena i prilagodbe klimatskim promjenama u Primorsko-goranskoj županiji za razdoblje 2019.-2022.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E174C2" w:rsidP="00E174C2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Primorsko-goranska županija, </w:t>
            </w:r>
            <w:r w:rsidR="00B1765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U</w:t>
            </w:r>
            <w:r w:rsidR="00DB05B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pravni odjel za prostorno uređenje, graditeljstvo i zaštitu okoliša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, Riva 10, Rijeka</w:t>
            </w:r>
            <w:r w:rsidR="00DB05B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05DD7" w:rsidRPr="00335F78" w:rsidRDefault="00005DD7" w:rsidP="00005DD7">
            <w:pPr>
              <w:jc w:val="both"/>
              <w:rPr>
                <w:rFonts w:cs="Arial"/>
                <w:sz w:val="20"/>
                <w:szCs w:val="20"/>
              </w:rPr>
            </w:pPr>
            <w:r w:rsidRPr="00335F78">
              <w:rPr>
                <w:rFonts w:cs="Arial"/>
                <w:sz w:val="20"/>
                <w:szCs w:val="20"/>
              </w:rPr>
              <w:t>Obveza donošenja Programa određena je člankom 12. stavkom 1. Zakona o zaštiti zraka („Narodne novine“ br. 130/11, 47/14, 61/17 i 118/18).</w:t>
            </w:r>
          </w:p>
          <w:p w:rsidR="004240A0" w:rsidRPr="00335F78" w:rsidRDefault="004240A0" w:rsidP="00005DD7">
            <w:pPr>
              <w:spacing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u w:val="single"/>
                <w:lang w:eastAsia="zh-CN"/>
              </w:rPr>
              <w:t>Ciljevi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koji se 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rogramom žele postići su sljedeći: zaštita i poboljšanje kvalitete zraka u cilju zaštite zdravlja </w:t>
            </w:r>
            <w:proofErr w:type="spellStart"/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Ijudi</w:t>
            </w:r>
            <w:proofErr w:type="spellEnd"/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, kvalitete življenja i okoliša u cjelini; unaprjeđivanje cjelovitog sustava upravljanja kvalitetom zraka i praćenja kvalitete zraka na teritoriju Primorsko-goranske županije; smanjivanje i ograničavanje emisija onečišćujućih tvari koje nepovoljno utječu na </w:t>
            </w:r>
            <w:proofErr w:type="spellStart"/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zakiseljavanje</w:t>
            </w:r>
            <w:proofErr w:type="spellEnd"/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, eutrofikaciju i fotokemijsko onečišćenje; smanjivanje i ograničavanje emisija stakleničkih plinova i tvari koje oštećuju ozonski sloj,  te održ</w:t>
            </w:r>
            <w:r w:rsidR="00005DD7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avanje razine odliva staklenič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kih plinova; osiguranje dostupnosti informacija javnosti vezano uz kvalitetu zraka, emisije onečišćujućih tvari, stakleničkih plinova i potrošnje tvari koje oštećuju ozonski sloj, projekcije emisija onečišćujućih tvari i stakleničkih plinova te provedbe politike i mjera za poboljšanje kvalitete zraka te ublažavanja i prilagodbe klimatskim promjenama putem informacijskog sustava zaštite zraka. </w:t>
            </w:r>
          </w:p>
          <w:p w:rsidR="00B17652" w:rsidRPr="00335F78" w:rsidRDefault="00652DD3" w:rsidP="00B840C1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u w:val="single"/>
                <w:lang w:eastAsia="zh-CN"/>
              </w:rPr>
              <w:t>Sažetak ključnih pitanja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: definirati i razraditi ciljeve i mjere po sektorima utjecaja na zrak (energetika, promet, industrija, gospodarenje otpadom i dr.); prvenstvo provođenja mjera; rokove izvršavanja, nositelje odnosno obveznike provedbe mjera za provedbu Programa te redoslijed izvršavanja prema utvrđenim prioritetnim mjerama  i aktivnostima.</w:t>
            </w:r>
          </w:p>
        </w:tc>
      </w:tr>
      <w:tr w:rsidR="00B17652" w:rsidRPr="00335F78" w:rsidTr="001C2897">
        <w:trPr>
          <w:trHeight w:val="525"/>
        </w:trPr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C2897" w:rsidRPr="00335F78" w:rsidRDefault="00335F78" w:rsidP="001C289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1) </w:t>
            </w:r>
            <w:r w:rsidR="00272F7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Internetska stranica P</w:t>
            </w:r>
            <w:r w:rsidR="003312AA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rimorsko-goranske županije </w:t>
            </w:r>
            <w:hyperlink r:id="rId11" w:history="1">
              <w:r w:rsidR="001C2897" w:rsidRPr="00335F78">
                <w:rPr>
                  <w:rStyle w:val="Hyperlink"/>
                  <w:rFonts w:eastAsia="SimSun" w:cs="Arial"/>
                  <w:bCs/>
                  <w:sz w:val="20"/>
                  <w:szCs w:val="20"/>
                  <w:lang w:eastAsia="zh-CN"/>
                </w:rPr>
                <w:t>https://www.pgz.hr/Dokumenti/Savjetovanja_s_javnoscu</w:t>
              </w:r>
            </w:hyperlink>
          </w:p>
          <w:p w:rsidR="001C2897" w:rsidRPr="00335F78" w:rsidRDefault="00335F78" w:rsidP="00335F78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cs="Arial"/>
                <w:sz w:val="20"/>
                <w:szCs w:val="20"/>
              </w:rPr>
              <w:t>2) Dokument u tekstualnom obliku izložen u Upravnom odjelu za prostorno uređenje, graditeljstvo i zaštitu okoliša, Riva 10, Rijeka, I. kat, soba 127.</w:t>
            </w:r>
          </w:p>
        </w:tc>
      </w:tr>
      <w:tr w:rsidR="00B17652" w:rsidRPr="00335F78" w:rsidTr="001C2897">
        <w:trPr>
          <w:trHeight w:val="1499"/>
        </w:trPr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315FFD" w:rsidP="00315FFD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S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avjetovanje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je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provedeno u razdoblju od  29. srpnja do 27. kolovoza 2019.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C2563" w:rsidRPr="00335F78" w:rsidRDefault="00DD6ED5" w:rsidP="00743161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Pristigla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su 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tri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očitovanja 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od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kojih je jedno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uputio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gospodarski subjekt INA </w:t>
            </w:r>
            <w:r w:rsidR="00254A6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– Industrija nafte 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d.d.</w:t>
            </w:r>
            <w:r w:rsidR="00254A6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iz </w:t>
            </w:r>
            <w:proofErr w:type="spellStart"/>
            <w:r w:rsidR="00254A6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lastRenderedPageBreak/>
              <w:t>Kostrene</w:t>
            </w:r>
            <w:proofErr w:type="spellEnd"/>
            <w:r w:rsidR="00254A6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254A6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Urinj</w:t>
            </w:r>
            <w:proofErr w:type="spellEnd"/>
            <w:r w:rsidR="00254A6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53, 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a drug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a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dva</w:t>
            </w:r>
            <w:r w:rsidR="00651B3E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jedinic</w:t>
            </w:r>
            <w:r w:rsidR="00651B3E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e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lokalne samouprave</w:t>
            </w:r>
            <w:r w:rsidR="00315FFD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,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651B3E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 to</w:t>
            </w:r>
            <w:r w:rsidR="00315FFD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:</w:t>
            </w:r>
            <w:r w:rsidR="00651B3E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Općina </w:t>
            </w:r>
            <w:proofErr w:type="spellStart"/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Viškovo</w:t>
            </w:r>
            <w:proofErr w:type="spellEnd"/>
            <w:r w:rsidR="00651B3E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i Općina </w:t>
            </w:r>
            <w:proofErr w:type="spellStart"/>
            <w:r w:rsidR="00651B3E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Kostrena</w:t>
            </w:r>
            <w:proofErr w:type="spellEnd"/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. </w:t>
            </w:r>
          </w:p>
          <w:p w:rsidR="008C2563" w:rsidRPr="00335F78" w:rsidRDefault="00315FFD" w:rsidP="00743161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U navedena tri očitovanja sadržano je u</w:t>
            </w:r>
            <w:r w:rsidR="003312AA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kupno 1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0</w:t>
            </w:r>
            <w:r w:rsidR="003312AA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primjedbi i prijedloga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, od čega 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tri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opća prijedloga i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sedam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BC798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pojedinačn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ih</w:t>
            </w:r>
            <w:r w:rsidR="00BC798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primjedb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i.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</w:p>
          <w:p w:rsidR="008C2563" w:rsidRPr="00335F78" w:rsidRDefault="00B17652" w:rsidP="00743161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Od </w:t>
            </w:r>
            <w:r w:rsidR="00315FFD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tri 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opća prijedloga 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prihvaćen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8729E5">
              <w:rPr>
                <w:rFonts w:eastAsia="SimSun" w:cs="Arial"/>
                <w:bCs/>
                <w:sz w:val="20"/>
                <w:szCs w:val="20"/>
                <w:lang w:eastAsia="zh-CN"/>
              </w:rPr>
              <w:t>je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8729E5">
              <w:rPr>
                <w:rFonts w:eastAsia="SimSun" w:cs="Arial"/>
                <w:bCs/>
                <w:sz w:val="20"/>
                <w:szCs w:val="20"/>
                <w:lang w:eastAsia="zh-CN"/>
              </w:rPr>
              <w:t>jedan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,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a </w:t>
            </w:r>
            <w:r w:rsidR="008729E5">
              <w:rPr>
                <w:rFonts w:eastAsia="SimSun" w:cs="Arial"/>
                <w:bCs/>
                <w:sz w:val="20"/>
                <w:szCs w:val="20"/>
                <w:lang w:eastAsia="zh-CN"/>
              </w:rPr>
              <w:t>dva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ni</w:t>
            </w:r>
            <w:r w:rsidR="008729E5">
              <w:rPr>
                <w:rFonts w:eastAsia="SimSun" w:cs="Arial"/>
                <w:bCs/>
                <w:sz w:val="20"/>
                <w:szCs w:val="20"/>
                <w:lang w:eastAsia="zh-CN"/>
              </w:rPr>
              <w:t>su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prihvaćen</w:t>
            </w:r>
            <w:r w:rsidR="008729E5">
              <w:rPr>
                <w:rFonts w:eastAsia="SimSun" w:cs="Arial"/>
                <w:bCs/>
                <w:sz w:val="20"/>
                <w:szCs w:val="20"/>
                <w:lang w:eastAsia="zh-CN"/>
              </w:rPr>
              <w:t>a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. </w:t>
            </w:r>
          </w:p>
          <w:p w:rsidR="00617F72" w:rsidRPr="00335F78" w:rsidRDefault="00315FFD" w:rsidP="00743161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Od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sedam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pojedinačnih primjedbi prihvaćen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e su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tri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,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jedna je djelomično prihvaćena, dok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tri nisu prihvaćene</w:t>
            </w:r>
            <w:r w:rsidR="00617F7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.</w:t>
            </w:r>
          </w:p>
          <w:p w:rsidR="00B17652" w:rsidRPr="00335F78" w:rsidRDefault="00B17652" w:rsidP="003717AE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U odnosu na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sedam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pojedinačn</w:t>
            </w:r>
            <w:r w:rsidR="00E30D49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ih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8C2563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primjedb</w:t>
            </w:r>
            <w:r w:rsidR="00E30D49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</w:t>
            </w:r>
            <w:r w:rsidR="00B81AC9">
              <w:rPr>
                <w:rFonts w:eastAsia="SimSun" w:cs="Arial"/>
                <w:bCs/>
                <w:sz w:val="20"/>
                <w:szCs w:val="20"/>
                <w:lang w:eastAsia="zh-CN"/>
              </w:rPr>
              <w:t>,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prihvaćen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e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su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3.5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pri</w:t>
            </w:r>
            <w:r w:rsidR="00BC798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mjedbe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(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50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%), a 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3.5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ih nije prihvaćeno (</w:t>
            </w:r>
            <w:r w:rsidR="003717AE">
              <w:rPr>
                <w:rFonts w:eastAsia="SimSun" w:cs="Arial"/>
                <w:bCs/>
                <w:sz w:val="20"/>
                <w:szCs w:val="20"/>
                <w:lang w:eastAsia="zh-CN"/>
              </w:rPr>
              <w:t>50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%</w:t>
            </w:r>
            <w:r w:rsidR="00BC7984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)</w:t>
            </w:r>
            <w:r w:rsidR="00E30D49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lastRenderedPageBreak/>
              <w:t xml:space="preserve">Pregled prihvaćenih i neprihvaćenih mišljenja i prijedloga s obrazloženjem razloga za neprihvaćanje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335F78" w:rsidP="001478EF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P</w:t>
            </w:r>
            <w:r w:rsidR="001478EF">
              <w:rPr>
                <w:rFonts w:eastAsia="SimSun" w:cs="Arial"/>
                <w:bCs/>
                <w:sz w:val="20"/>
                <w:szCs w:val="20"/>
                <w:lang w:eastAsia="zh-CN"/>
              </w:rPr>
              <w:t>regled je dan u tablici koja čini Prilog 1. ovog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Izvje</w:t>
            </w:r>
            <w:r w:rsidR="001478EF">
              <w:rPr>
                <w:rFonts w:eastAsia="SimSun" w:cs="Arial"/>
                <w:bCs/>
                <w:sz w:val="20"/>
                <w:szCs w:val="20"/>
                <w:lang w:eastAsia="zh-CN"/>
              </w:rPr>
              <w:t>šća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C7984" w:rsidP="00BC7984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Ostalih oblika savjetovanja s javnošću nije bilo.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17652" w:rsidRPr="00335F78" w:rsidRDefault="00B17652" w:rsidP="002E5556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Provedba javnog savjetovanja nije iziskivala dodatne financijske troškove.</w:t>
            </w:r>
          </w:p>
        </w:tc>
      </w:tr>
    </w:tbl>
    <w:p w:rsidR="006C682D" w:rsidRDefault="006C682D" w:rsidP="00B17652">
      <w:pPr>
        <w:spacing w:after="200" w:line="276" w:lineRule="auto"/>
        <w:rPr>
          <w:rFonts w:eastAsia="Calibri" w:cs="Arial"/>
          <w:b/>
          <w:bCs/>
          <w:sz w:val="22"/>
        </w:rPr>
      </w:pPr>
      <w:bookmarkStart w:id="1" w:name="_Toc468978618"/>
    </w:p>
    <w:p w:rsidR="00B17652" w:rsidRPr="00921D86" w:rsidRDefault="00B17652" w:rsidP="00B17652">
      <w:pPr>
        <w:spacing w:after="200" w:line="276" w:lineRule="auto"/>
        <w:rPr>
          <w:rFonts w:eastAsia="Calibri" w:cs="Arial"/>
          <w:b/>
          <w:bCs/>
          <w:sz w:val="22"/>
        </w:rPr>
      </w:pPr>
      <w:r w:rsidRPr="00921D86">
        <w:rPr>
          <w:rFonts w:eastAsia="Calibri" w:cs="Arial"/>
          <w:b/>
          <w:bCs/>
          <w:sz w:val="22"/>
        </w:rPr>
        <w:t>Prilog 1. Pregled prihvaćenih i neprihvaćenih primjedbi</w:t>
      </w:r>
      <w:bookmarkEnd w:id="1"/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974"/>
        <w:gridCol w:w="1984"/>
        <w:gridCol w:w="2046"/>
        <w:gridCol w:w="2632"/>
      </w:tblGrid>
      <w:tr w:rsidR="00B17652" w:rsidRPr="001478EF" w:rsidTr="00827F05">
        <w:trPr>
          <w:jc w:val="center"/>
        </w:trPr>
        <w:tc>
          <w:tcPr>
            <w:tcW w:w="686" w:type="dxa"/>
            <w:vAlign w:val="center"/>
          </w:tcPr>
          <w:p w:rsidR="00B17652" w:rsidRPr="001478EF" w:rsidRDefault="00B17652" w:rsidP="002E5556">
            <w:pPr>
              <w:spacing w:after="120" w:line="24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974" w:type="dxa"/>
            <w:vAlign w:val="center"/>
          </w:tcPr>
          <w:p w:rsidR="00B17652" w:rsidRPr="001478EF" w:rsidRDefault="00B17652" w:rsidP="002E5556">
            <w:pPr>
              <w:spacing w:after="120" w:line="24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B17652" w:rsidRPr="001478EF" w:rsidRDefault="00B17652" w:rsidP="002E5556">
            <w:pPr>
              <w:spacing w:after="120" w:line="24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B17652" w:rsidRPr="001478EF" w:rsidRDefault="00B17652" w:rsidP="002E5556">
            <w:pPr>
              <w:spacing w:after="120" w:line="24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B17652" w:rsidRPr="001478EF" w:rsidRDefault="00B17652" w:rsidP="002E5556">
            <w:pPr>
              <w:spacing w:after="120" w:line="24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b/>
                <w:sz w:val="20"/>
                <w:szCs w:val="20"/>
                <w:lang w:eastAsia="zh-CN"/>
              </w:rPr>
              <w:t>Status prijedloga ili mišljen</w:t>
            </w:r>
            <w:r w:rsidR="00DD6ED5">
              <w:rPr>
                <w:rFonts w:eastAsia="SimSun" w:cs="Arial"/>
                <w:b/>
                <w:sz w:val="20"/>
                <w:szCs w:val="20"/>
                <w:lang w:eastAsia="zh-CN"/>
              </w:rPr>
              <w:t>ja (prihvaćanje/neprihvaćanje s</w:t>
            </w:r>
            <w:r w:rsidRPr="001478EF">
              <w:rPr>
                <w:rFonts w:eastAsia="SimSun" w:cs="Arial"/>
                <w:b/>
                <w:sz w:val="20"/>
                <w:szCs w:val="20"/>
                <w:lang w:eastAsia="zh-CN"/>
              </w:rPr>
              <w:t xml:space="preserve"> obrazloženjem) </w:t>
            </w:r>
          </w:p>
        </w:tc>
      </w:tr>
      <w:tr w:rsidR="00B17652" w:rsidRPr="001478EF" w:rsidTr="00827F05">
        <w:trPr>
          <w:trHeight w:val="567"/>
          <w:jc w:val="center"/>
        </w:trPr>
        <w:tc>
          <w:tcPr>
            <w:tcW w:w="686" w:type="dxa"/>
          </w:tcPr>
          <w:p w:rsidR="00B17652" w:rsidRPr="001478EF" w:rsidRDefault="00B17652" w:rsidP="00BC79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B17652" w:rsidRPr="001478EF" w:rsidRDefault="00BC7984" w:rsidP="00BC7984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INA – Industrija nafte d.d.,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Urinj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53</w:t>
            </w:r>
            <w:r w:rsidR="00254A64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254A64" w:rsidRPr="001478EF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="00254A64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</w:tcPr>
          <w:p w:rsidR="003B19C8" w:rsidRPr="001478EF" w:rsidRDefault="003B19C8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Tablica 3. 12 Kvaliteta zraka na području PGŽ za razdoblje 2014.-2018.</w:t>
            </w:r>
          </w:p>
        </w:tc>
        <w:tc>
          <w:tcPr>
            <w:tcW w:w="2046" w:type="dxa"/>
          </w:tcPr>
          <w:p w:rsidR="00B17652" w:rsidRPr="001478EF" w:rsidRDefault="00254A64" w:rsidP="0053664B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Na str 46</w:t>
            </w:r>
            <w:r w:rsidR="004D34D9" w:rsidRPr="001478EF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E60563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nacrta Programa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za parametar O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 xml:space="preserve">3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navedena je II. kategorija kvalitete zraka na postajama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Paveki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Krasica</w:t>
            </w:r>
            <w:proofErr w:type="spellEnd"/>
            <w:r w:rsidR="003B19C8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II za razdoblje 2014. -2018., dok je pregledom Izvješća  Monitoring kvalitete zraka na utjecajnom području INA RN</w:t>
            </w:r>
            <w:r w:rsidR="009320F8">
              <w:rPr>
                <w:rFonts w:eastAsia="SimSun" w:cs="Arial"/>
                <w:sz w:val="20"/>
                <w:szCs w:val="20"/>
                <w:lang w:eastAsia="zh-CN"/>
              </w:rPr>
              <w:t>R (izradio NZZJZ PGŽ) parametar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O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3</w:t>
            </w:r>
            <w:r w:rsidR="009320F8">
              <w:rPr>
                <w:rFonts w:eastAsia="SimSun" w:cs="Arial"/>
                <w:sz w:val="20"/>
                <w:szCs w:val="20"/>
                <w:lang w:eastAsia="zh-CN"/>
              </w:rPr>
              <w:t xml:space="preserve"> u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II. kategoriji kvalitete zraka na postaji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Krasica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od 2014.-2017.</w:t>
            </w:r>
            <w:r w:rsidR="00472DFC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a u 2018. je I</w:t>
            </w:r>
            <w:r w:rsidR="006C682D" w:rsidRPr="001478EF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kategorije</w:t>
            </w:r>
            <w:r w:rsidR="001478EF">
              <w:rPr>
                <w:rFonts w:eastAsia="SimSun" w:cs="Arial"/>
                <w:sz w:val="20"/>
                <w:szCs w:val="20"/>
                <w:lang w:eastAsia="zh-CN"/>
              </w:rPr>
              <w:t xml:space="preserve">,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a parametar O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3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je II. kategorije 2014. i 2015. na postaji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Paveki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, a u 2016. -2018. je I. kategorije. Prema navedenom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 xml:space="preserve">potrebno je korigirati podatke u tablici 3. </w:t>
            </w:r>
            <w:r w:rsidR="003A2436" w:rsidRPr="001478EF">
              <w:rPr>
                <w:rFonts w:eastAsia="SimSun" w:cs="Arial"/>
                <w:sz w:val="20"/>
                <w:szCs w:val="20"/>
                <w:lang w:eastAsia="zh-CN"/>
              </w:rPr>
              <w:t>1</w:t>
            </w:r>
            <w:r w:rsidR="0053664B">
              <w:rPr>
                <w:rFonts w:eastAsia="SimSun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32" w:type="dxa"/>
          </w:tcPr>
          <w:p w:rsidR="00B17652" w:rsidRPr="001478EF" w:rsidRDefault="002913CC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>Prihvaćeno/ispravljeno</w:t>
            </w:r>
            <w:r w:rsidR="00E1384D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</w:p>
        </w:tc>
      </w:tr>
      <w:tr w:rsidR="00B17652" w:rsidRPr="001478EF" w:rsidTr="00827F05">
        <w:trPr>
          <w:trHeight w:val="567"/>
          <w:jc w:val="center"/>
        </w:trPr>
        <w:tc>
          <w:tcPr>
            <w:tcW w:w="686" w:type="dxa"/>
          </w:tcPr>
          <w:p w:rsidR="00B17652" w:rsidRPr="001478EF" w:rsidRDefault="00B17652" w:rsidP="00254A64">
            <w:pPr>
              <w:spacing w:after="120" w:line="240" w:lineRule="auto"/>
              <w:ind w:left="426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B17652" w:rsidRPr="001478EF" w:rsidRDefault="00B17652" w:rsidP="00BC7984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F87A1A" w:rsidRPr="001478EF" w:rsidRDefault="00F87A1A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Tablica 5.4 Status realizacije mjera propisane rješenjem o objedinjenim uvjetima zaštite okoliša (MZSS) propisanih Akcijskim planom za poboljšanje kvalitete zraka za područje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Urinja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s obzirom na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sumporovodik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(H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2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S)</w:t>
            </w:r>
          </w:p>
        </w:tc>
        <w:tc>
          <w:tcPr>
            <w:tcW w:w="2046" w:type="dxa"/>
          </w:tcPr>
          <w:p w:rsidR="00FB38BD" w:rsidRPr="001478EF" w:rsidRDefault="003B19C8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Na str 78. </w:t>
            </w:r>
            <w:r w:rsidR="00E60563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nacrta </w:t>
            </w:r>
            <w:r w:rsidR="008F3044" w:rsidRPr="001478EF">
              <w:rPr>
                <w:rFonts w:eastAsia="SimSun" w:cs="Arial"/>
                <w:sz w:val="20"/>
                <w:szCs w:val="20"/>
                <w:lang w:eastAsia="zh-CN"/>
              </w:rPr>
              <w:t>P</w:t>
            </w:r>
            <w:r w:rsidR="00E60563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rograma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u Tablici  5.4 naveden je stari status za mjeru MZSS1  (realizacija mjera iz studenog 2018.)</w:t>
            </w:r>
            <w:r w:rsidR="00FA0184" w:rsidRPr="001478EF">
              <w:rPr>
                <w:rFonts w:eastAsia="SimSun" w:cs="Arial"/>
                <w:sz w:val="20"/>
                <w:szCs w:val="20"/>
                <w:lang w:eastAsia="zh-CN"/>
              </w:rPr>
              <w:t>, pa je isti potrebno korigirati u nacrtu Programa</w:t>
            </w:r>
            <w:r w:rsidR="003A2436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na način da je za mjeru 1. status</w:t>
            </w:r>
            <w:r w:rsidR="00665C25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sljedeći</w:t>
            </w:r>
            <w:r w:rsidR="003A2436" w:rsidRPr="001478EF">
              <w:rPr>
                <w:rFonts w:eastAsia="SimSun" w:cs="Arial"/>
                <w:sz w:val="20"/>
                <w:szCs w:val="20"/>
                <w:lang w:eastAsia="zh-CN"/>
              </w:rPr>
              <w:t>:</w:t>
            </w:r>
            <w:r w:rsidR="003A2436" w:rsidRPr="001478EF">
              <w:rPr>
                <w:rFonts w:cs="Arial"/>
                <w:sz w:val="20"/>
                <w:szCs w:val="20"/>
              </w:rPr>
              <w:t xml:space="preserve"> </w:t>
            </w:r>
            <w:r w:rsidR="003A2436" w:rsidRPr="001478EF">
              <w:rPr>
                <w:rFonts w:eastAsia="SimSun" w:cs="Arial"/>
                <w:sz w:val="20"/>
                <w:szCs w:val="20"/>
                <w:lang w:eastAsia="zh-CN"/>
              </w:rPr>
              <w:t>Poboljšanje efikasnosti i</w:t>
            </w:r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 xml:space="preserve"> zaštite okoliša na </w:t>
            </w:r>
            <w:proofErr w:type="spellStart"/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>Toppingu</w:t>
            </w:r>
            <w:proofErr w:type="spellEnd"/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 xml:space="preserve"> 3 </w:t>
            </w:r>
            <w:r w:rsidR="003A2436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 xml:space="preserve">                       </w:t>
            </w:r>
            <w:r w:rsidR="003A2436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(Postrojenje za atmosfersku destilaciju) </w:t>
            </w:r>
            <w:r w:rsidR="00CB653D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- </w:t>
            </w:r>
            <w:r w:rsidR="00A83197" w:rsidRPr="001478EF">
              <w:rPr>
                <w:rFonts w:eastAsia="SimSun" w:cs="Arial"/>
                <w:sz w:val="20"/>
                <w:szCs w:val="20"/>
                <w:lang w:eastAsia="zh-CN"/>
              </w:rPr>
              <w:t>p</w:t>
            </w:r>
            <w:r w:rsidR="003A2436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rojekt realiziran </w:t>
            </w:r>
          </w:p>
          <w:p w:rsidR="00B17652" w:rsidRPr="001478EF" w:rsidRDefault="00FB38BD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Obrada plina bogatog H2S 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Unifining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2 (Katalitički </w:t>
            </w:r>
            <w:proofErr w:type="spellStart"/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>reforming</w:t>
            </w:r>
            <w:proofErr w:type="spellEnd"/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 xml:space="preserve"> benzina)  i </w:t>
            </w:r>
            <w:proofErr w:type="spellStart"/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>Merox</w:t>
            </w:r>
            <w:proofErr w:type="spellEnd"/>
            <w:r w:rsidR="000E2D30">
              <w:rPr>
                <w:rFonts w:eastAsia="SimSun" w:cs="Arial"/>
                <w:sz w:val="20"/>
                <w:szCs w:val="20"/>
                <w:lang w:eastAsia="zh-CN"/>
              </w:rPr>
              <w:t xml:space="preserve"> 5 (obrada uka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pljenog naftnog plina) postrojenja </w:t>
            </w:r>
            <w:r w:rsidR="00CB653D" w:rsidRPr="001478EF">
              <w:rPr>
                <w:rFonts w:eastAsia="SimSun" w:cs="Arial"/>
                <w:sz w:val="20"/>
                <w:szCs w:val="20"/>
                <w:lang w:eastAsia="zh-CN"/>
              </w:rPr>
              <w:t>-</w:t>
            </w:r>
            <w:r w:rsidR="00A83197" w:rsidRPr="001478EF">
              <w:rPr>
                <w:rFonts w:eastAsia="SimSun" w:cs="Arial"/>
                <w:sz w:val="20"/>
                <w:szCs w:val="20"/>
                <w:lang w:eastAsia="zh-CN"/>
              </w:rPr>
              <w:t>p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rojekt realiziran</w:t>
            </w:r>
            <w:r w:rsidR="00FA0184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32" w:type="dxa"/>
          </w:tcPr>
          <w:p w:rsidR="00B17652" w:rsidRPr="001478EF" w:rsidRDefault="002913CC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Prihvaćeno/izmijenjeno</w:t>
            </w:r>
            <w:r w:rsidR="00E1384D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</w:p>
        </w:tc>
      </w:tr>
      <w:tr w:rsidR="00B17652" w:rsidRPr="001478EF" w:rsidTr="00827F05">
        <w:trPr>
          <w:trHeight w:val="567"/>
          <w:jc w:val="center"/>
        </w:trPr>
        <w:tc>
          <w:tcPr>
            <w:tcW w:w="686" w:type="dxa"/>
          </w:tcPr>
          <w:p w:rsidR="00B17652" w:rsidRPr="001478EF" w:rsidRDefault="00B17652" w:rsidP="00254A6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B17652" w:rsidRPr="001478EF" w:rsidRDefault="00254A64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Općina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Viškovo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Vozišće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3,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Viškovo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984" w:type="dxa"/>
          </w:tcPr>
          <w:p w:rsidR="00B17652" w:rsidRPr="001478EF" w:rsidRDefault="005B22FA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4.3. Difuzni izvori emisija </w:t>
            </w:r>
          </w:p>
        </w:tc>
        <w:tc>
          <w:tcPr>
            <w:tcW w:w="2046" w:type="dxa"/>
          </w:tcPr>
          <w:p w:rsidR="00B17652" w:rsidRPr="001478EF" w:rsidRDefault="00FA0184" w:rsidP="001E5350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Nacrtom Programa nije </w:t>
            </w:r>
            <w:r w:rsidR="001E5350">
              <w:rPr>
                <w:rFonts w:eastAsia="SimSun" w:cs="Arial"/>
                <w:sz w:val="20"/>
                <w:szCs w:val="20"/>
                <w:lang w:eastAsia="zh-CN"/>
              </w:rPr>
              <w:t xml:space="preserve">dovoljno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detaljno raz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>motren</w:t>
            </w:r>
            <w:r w:rsidR="001E5350">
              <w:rPr>
                <w:rFonts w:eastAsia="SimSun" w:cs="Arial"/>
                <w:sz w:val="20"/>
                <w:szCs w:val="20"/>
                <w:lang w:eastAsia="zh-CN"/>
              </w:rPr>
              <w:t xml:space="preserve"> i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uzet u obzir </w:t>
            </w:r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mogući utjecaj zahvata sanacije lokacije visoko onečišćene opasnim otpadom 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>(</w:t>
            </w:r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t>crna jama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) </w:t>
            </w:r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t>„</w:t>
            </w:r>
            <w:proofErr w:type="spellStart"/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>Sovjak</w:t>
            </w:r>
            <w:proofErr w:type="spellEnd"/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“ 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na zrak i </w:t>
            </w:r>
            <w:r w:rsidR="001E5350">
              <w:rPr>
                <w:rFonts w:eastAsia="SimSun" w:cs="Arial"/>
                <w:sz w:val="20"/>
                <w:szCs w:val="20"/>
                <w:lang w:eastAsia="zh-CN"/>
              </w:rPr>
              <w:t>o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koliš, nego je </w:t>
            </w:r>
            <w:r w:rsidR="001E5350">
              <w:rPr>
                <w:rFonts w:eastAsia="SimSun" w:cs="Arial"/>
                <w:sz w:val="20"/>
                <w:szCs w:val="20"/>
                <w:lang w:eastAsia="zh-CN"/>
              </w:rPr>
              <w:t xml:space="preserve">navedeno 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>samo spomenuto u poglavlju 4.3 Difuzni izvori emis</w:t>
            </w:r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t>i</w:t>
            </w:r>
            <w:r w:rsidR="001755D7" w:rsidRPr="001478EF">
              <w:rPr>
                <w:rFonts w:eastAsia="SimSun" w:cs="Arial"/>
                <w:sz w:val="20"/>
                <w:szCs w:val="20"/>
                <w:lang w:eastAsia="zh-CN"/>
              </w:rPr>
              <w:t>ja</w:t>
            </w:r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. Za navedeni zahvat izrađena je studija utjecaja na okoliš i plan sanacije, pa je slijedom navedenog, uzimajući u obzir kompleksnost zahvata sanacije, kao i njegove moguće utjecaje na zaštitu zraka, u </w:t>
            </w:r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 xml:space="preserve">predmetnom Programu potrebno detaljnije razraditi </w:t>
            </w:r>
            <w:r w:rsidR="001E5350">
              <w:rPr>
                <w:rFonts w:eastAsia="SimSun" w:cs="Arial"/>
                <w:sz w:val="20"/>
                <w:szCs w:val="20"/>
                <w:lang w:eastAsia="zh-CN"/>
              </w:rPr>
              <w:t>tu</w:t>
            </w:r>
            <w:r w:rsidR="00437F60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tematiku. </w:t>
            </w:r>
          </w:p>
        </w:tc>
        <w:tc>
          <w:tcPr>
            <w:tcW w:w="2632" w:type="dxa"/>
          </w:tcPr>
          <w:p w:rsidR="00F14A5F" w:rsidRDefault="002913CC" w:rsidP="00F14A5F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>Prihvaćeno</w:t>
            </w:r>
            <w:r w:rsidR="00F14A5F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</w:p>
          <w:p w:rsidR="00B17652" w:rsidRPr="001478EF" w:rsidRDefault="00F14A5F" w:rsidP="00F14A5F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Predmetna tematika je</w:t>
            </w:r>
            <w:r w:rsidR="002913CC">
              <w:rPr>
                <w:rFonts w:eastAsia="SimSun" w:cs="Arial"/>
                <w:sz w:val="20"/>
                <w:szCs w:val="20"/>
                <w:lang w:eastAsia="zh-CN"/>
              </w:rPr>
              <w:t xml:space="preserve"> detaljnije opisan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a</w:t>
            </w:r>
            <w:r w:rsidR="002913CC">
              <w:rPr>
                <w:rFonts w:eastAsia="SimSun" w:cs="Arial"/>
                <w:sz w:val="20"/>
                <w:szCs w:val="20"/>
                <w:lang w:eastAsia="zh-CN"/>
              </w:rPr>
              <w:t xml:space="preserve"> u Programu, u skladu s Mišljenjem Povjerenstva za Procjenu utjecaja na okoliša Ministarstva zaštite okoliša i energetike za  planirani</w:t>
            </w:r>
            <w:r w:rsidR="00A4303C">
              <w:rPr>
                <w:rFonts w:eastAsia="SimSun" w:cs="Arial"/>
                <w:sz w:val="20"/>
                <w:szCs w:val="20"/>
                <w:lang w:eastAsia="zh-CN"/>
              </w:rPr>
              <w:t xml:space="preserve"> zahvat</w:t>
            </w:r>
            <w:r w:rsidR="002913CC">
              <w:rPr>
                <w:rFonts w:eastAsia="SimSun" w:cs="Arial"/>
                <w:sz w:val="20"/>
                <w:szCs w:val="20"/>
                <w:lang w:eastAsia="zh-CN"/>
              </w:rPr>
              <w:t xml:space="preserve"> sanacije lokacije </w:t>
            </w:r>
            <w:proofErr w:type="spellStart"/>
            <w:r w:rsidR="002913CC">
              <w:rPr>
                <w:rFonts w:eastAsia="SimSun" w:cs="Arial"/>
                <w:sz w:val="20"/>
                <w:szCs w:val="20"/>
                <w:lang w:eastAsia="zh-CN"/>
              </w:rPr>
              <w:t>Sovjak</w:t>
            </w:r>
            <w:proofErr w:type="spellEnd"/>
            <w:r w:rsidR="002913CC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</w:p>
        </w:tc>
      </w:tr>
      <w:tr w:rsidR="00651B3E" w:rsidRPr="001478EF" w:rsidTr="00827F05">
        <w:trPr>
          <w:trHeight w:val="567"/>
          <w:jc w:val="center"/>
        </w:trPr>
        <w:tc>
          <w:tcPr>
            <w:tcW w:w="686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51B3E" w:rsidRPr="001478EF" w:rsidRDefault="005B22FA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Monitoring ŽCGO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Marišćina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: TD Čistoća d.o.o.  </w:t>
            </w:r>
            <w:r w:rsidR="00651B3E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46" w:type="dxa"/>
          </w:tcPr>
          <w:p w:rsidR="00651B3E" w:rsidRPr="001478EF" w:rsidRDefault="00123B6D" w:rsidP="001478EF">
            <w:pPr>
              <w:spacing w:after="120" w:line="240" w:lineRule="auto"/>
              <w:ind w:right="-63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Za ŽCGO </w:t>
            </w:r>
            <w:proofErr w:type="spellStart"/>
            <w:r>
              <w:rPr>
                <w:rFonts w:eastAsia="SimSun" w:cs="Arial"/>
                <w:sz w:val="20"/>
                <w:szCs w:val="20"/>
                <w:lang w:eastAsia="zh-CN"/>
              </w:rPr>
              <w:t>Marišćina</w:t>
            </w:r>
            <w:proofErr w:type="spellEnd"/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 potrebno je utvrditi dodatne mjere</w:t>
            </w:r>
            <w:r w:rsidR="00651B3E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za zaštitu zraka i ozonskog sloja u odnosu na postojeće</w:t>
            </w:r>
            <w:r w:rsidR="00875984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651B3E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s obzirom na probleme sa pojavom neugodnih mirisa i povišenih </w:t>
            </w:r>
            <w:r w:rsidR="00875984" w:rsidRPr="001478EF">
              <w:rPr>
                <w:rFonts w:eastAsia="SimSun" w:cs="Arial"/>
                <w:sz w:val="20"/>
                <w:szCs w:val="20"/>
                <w:lang w:eastAsia="zh-CN"/>
              </w:rPr>
              <w:t>k</w:t>
            </w:r>
            <w:r w:rsidR="00651B3E" w:rsidRPr="001478EF">
              <w:rPr>
                <w:rFonts w:eastAsia="SimSun" w:cs="Arial"/>
                <w:sz w:val="20"/>
                <w:szCs w:val="20"/>
                <w:lang w:eastAsia="zh-CN"/>
              </w:rPr>
              <w:t>oncentracija H</w:t>
            </w:r>
            <w:r w:rsidR="00651B3E"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2</w:t>
            </w:r>
            <w:r w:rsidR="00651B3E" w:rsidRPr="001478EF">
              <w:rPr>
                <w:rFonts w:eastAsia="SimSun" w:cs="Arial"/>
                <w:sz w:val="20"/>
                <w:szCs w:val="20"/>
                <w:lang w:eastAsia="zh-CN"/>
              </w:rPr>
              <w:t>S i PM</w:t>
            </w:r>
            <w:r w:rsidR="00651B3E"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10</w:t>
            </w:r>
            <w:r w:rsidR="00651B3E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u prethodnom razdoblju.</w:t>
            </w:r>
          </w:p>
        </w:tc>
        <w:tc>
          <w:tcPr>
            <w:tcW w:w="2632" w:type="dxa"/>
          </w:tcPr>
          <w:p w:rsidR="00FC2960" w:rsidRDefault="00F14A5F" w:rsidP="00FC2960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Djelomično prihvaćeno.</w:t>
            </w:r>
          </w:p>
          <w:p w:rsidR="00651B3E" w:rsidRDefault="00FC2960" w:rsidP="00FC296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Programom je propisana izrada </w:t>
            </w:r>
            <w:r w:rsidRPr="0052389F">
              <w:rPr>
                <w:sz w:val="20"/>
                <w:szCs w:val="20"/>
              </w:rPr>
              <w:t>Akcijsk</w:t>
            </w:r>
            <w:r>
              <w:rPr>
                <w:sz w:val="20"/>
                <w:szCs w:val="20"/>
              </w:rPr>
              <w:t>og</w:t>
            </w:r>
            <w:r w:rsidRPr="0052389F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a</w:t>
            </w:r>
            <w:r w:rsidRPr="0052389F">
              <w:rPr>
                <w:sz w:val="20"/>
                <w:szCs w:val="20"/>
              </w:rPr>
              <w:t xml:space="preserve"> za poboljšanje kvalitete zraka s obzirom na </w:t>
            </w:r>
            <w:proofErr w:type="spellStart"/>
            <w:r w:rsidRPr="0052389F">
              <w:rPr>
                <w:sz w:val="20"/>
                <w:szCs w:val="20"/>
              </w:rPr>
              <w:t>sumporovodik</w:t>
            </w:r>
            <w:proofErr w:type="spellEnd"/>
            <w:r w:rsidRPr="0052389F">
              <w:rPr>
                <w:sz w:val="20"/>
                <w:szCs w:val="20"/>
              </w:rPr>
              <w:t xml:space="preserve"> (H</w:t>
            </w:r>
            <w:r w:rsidRPr="0052389F">
              <w:rPr>
                <w:sz w:val="20"/>
                <w:szCs w:val="20"/>
                <w:vertAlign w:val="subscript"/>
              </w:rPr>
              <w:t>2</w:t>
            </w:r>
            <w:r w:rsidRPr="0052389F">
              <w:rPr>
                <w:sz w:val="20"/>
                <w:szCs w:val="20"/>
              </w:rPr>
              <w:t xml:space="preserve">S) za područje </w:t>
            </w:r>
            <w:proofErr w:type="spellStart"/>
            <w:r w:rsidRPr="0052389F">
              <w:rPr>
                <w:sz w:val="20"/>
                <w:szCs w:val="20"/>
              </w:rPr>
              <w:t>Marišćine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C2960" w:rsidRPr="001478EF" w:rsidRDefault="00FC2960" w:rsidP="0041720A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A4303C">
              <w:rPr>
                <w:sz w:val="20"/>
                <w:szCs w:val="20"/>
              </w:rPr>
              <w:t xml:space="preserve">Tijekom 2017. na postaji </w:t>
            </w:r>
            <w:proofErr w:type="spellStart"/>
            <w:r w:rsidRPr="00A4303C">
              <w:rPr>
                <w:sz w:val="20"/>
                <w:szCs w:val="20"/>
              </w:rPr>
              <w:t>Marišćina</w:t>
            </w:r>
            <w:proofErr w:type="spellEnd"/>
            <w:r w:rsidRPr="00A4303C">
              <w:rPr>
                <w:sz w:val="20"/>
                <w:szCs w:val="20"/>
              </w:rPr>
              <w:t xml:space="preserve"> zabilježene su povišene koncentracije PM</w:t>
            </w:r>
            <w:r w:rsidRPr="00846865">
              <w:rPr>
                <w:sz w:val="20"/>
                <w:szCs w:val="20"/>
                <w:vertAlign w:val="subscript"/>
              </w:rPr>
              <w:t>10</w:t>
            </w:r>
            <w:r w:rsidRPr="00A4303C">
              <w:rPr>
                <w:sz w:val="20"/>
                <w:szCs w:val="20"/>
              </w:rPr>
              <w:t xml:space="preserve"> čestica</w:t>
            </w:r>
            <w:r w:rsidR="00004A9E" w:rsidRPr="00A4303C">
              <w:rPr>
                <w:sz w:val="20"/>
                <w:szCs w:val="20"/>
              </w:rPr>
              <w:t xml:space="preserve"> (II. </w:t>
            </w:r>
            <w:r w:rsidR="00846865">
              <w:rPr>
                <w:sz w:val="20"/>
                <w:szCs w:val="20"/>
              </w:rPr>
              <w:t>k</w:t>
            </w:r>
            <w:r w:rsidR="00004A9E" w:rsidRPr="00A4303C">
              <w:rPr>
                <w:sz w:val="20"/>
                <w:szCs w:val="20"/>
              </w:rPr>
              <w:t>ategorija kvalitete zraka)</w:t>
            </w:r>
            <w:r w:rsidRPr="00A4303C">
              <w:rPr>
                <w:sz w:val="20"/>
                <w:szCs w:val="20"/>
              </w:rPr>
              <w:t xml:space="preserve">, koje su </w:t>
            </w:r>
            <w:r w:rsidR="00004A9E" w:rsidRPr="00A4303C">
              <w:rPr>
                <w:sz w:val="20"/>
                <w:szCs w:val="20"/>
              </w:rPr>
              <w:t xml:space="preserve">prema Izvještaju o praćenju kvalitete zraka na području CGO </w:t>
            </w:r>
            <w:proofErr w:type="spellStart"/>
            <w:r w:rsidR="00004A9E" w:rsidRPr="00A4303C">
              <w:rPr>
                <w:sz w:val="20"/>
                <w:szCs w:val="20"/>
              </w:rPr>
              <w:t>Marišćina</w:t>
            </w:r>
            <w:proofErr w:type="spellEnd"/>
            <w:r w:rsidR="00004A9E" w:rsidRPr="00A4303C">
              <w:rPr>
                <w:sz w:val="20"/>
                <w:szCs w:val="20"/>
              </w:rPr>
              <w:t xml:space="preserve">  najv</w:t>
            </w:r>
            <w:r w:rsidR="00030377">
              <w:rPr>
                <w:sz w:val="20"/>
                <w:szCs w:val="20"/>
              </w:rPr>
              <w:t>j</w:t>
            </w:r>
            <w:r w:rsidR="00004A9E" w:rsidRPr="00A4303C">
              <w:rPr>
                <w:sz w:val="20"/>
                <w:szCs w:val="20"/>
              </w:rPr>
              <w:t xml:space="preserve">erojatnije bile </w:t>
            </w:r>
            <w:r w:rsidR="00AB3B57" w:rsidRPr="00A4303C">
              <w:rPr>
                <w:sz w:val="20"/>
                <w:szCs w:val="20"/>
              </w:rPr>
              <w:t>uzrokovane</w:t>
            </w:r>
            <w:r w:rsidRPr="00A4303C">
              <w:rPr>
                <w:sz w:val="20"/>
                <w:szCs w:val="20"/>
              </w:rPr>
              <w:t xml:space="preserve"> građevinskim radovima</w:t>
            </w:r>
            <w:r w:rsidR="0041720A">
              <w:rPr>
                <w:sz w:val="20"/>
                <w:szCs w:val="20"/>
              </w:rPr>
              <w:t xml:space="preserve"> na obližnjoj pristupnoj cesti.</w:t>
            </w:r>
            <w:r w:rsidRPr="00A4303C">
              <w:rPr>
                <w:sz w:val="20"/>
                <w:szCs w:val="20"/>
              </w:rPr>
              <w:t xml:space="preserve"> </w:t>
            </w:r>
            <w:r w:rsidR="00004A9E" w:rsidRPr="00A4303C">
              <w:rPr>
                <w:sz w:val="20"/>
                <w:szCs w:val="20"/>
              </w:rPr>
              <w:t xml:space="preserve">Tijekom 2018., zbog tehničkih problema na mjernoj opremi, obuhvat podataka nije bio dovoljan za kategorizaciju kvalitete zraka, no dostupna mjerenja pokazuju da povremeno dolazi do prekoračenja graničnih vrijednosti. Stoga treba </w:t>
            </w:r>
            <w:r w:rsidR="00CE1AD3" w:rsidRPr="00A4303C">
              <w:rPr>
                <w:sz w:val="20"/>
                <w:szCs w:val="20"/>
              </w:rPr>
              <w:t>osigurati kontinuiranu ispravnost opreme na ovoj</w:t>
            </w:r>
            <w:r w:rsidR="000E0759">
              <w:rPr>
                <w:sz w:val="20"/>
                <w:szCs w:val="20"/>
              </w:rPr>
              <w:t>,</w:t>
            </w:r>
            <w:r w:rsidR="00CE1AD3" w:rsidRPr="00A4303C">
              <w:rPr>
                <w:sz w:val="20"/>
                <w:szCs w:val="20"/>
              </w:rPr>
              <w:t xml:space="preserve"> kao i na drugim mjernim postajama. Potrebno je napraviti analizu i validaciju dostupnih podataka u 2019., te ukoliko u skladu s tim mjerenjima dolazi i dalje do prekoračenja koncentracija PM</w:t>
            </w:r>
            <w:r w:rsidR="00CE1AD3" w:rsidRPr="0041720A">
              <w:rPr>
                <w:sz w:val="20"/>
                <w:szCs w:val="20"/>
                <w:vertAlign w:val="subscript"/>
              </w:rPr>
              <w:t>10</w:t>
            </w:r>
            <w:r w:rsidR="00CE1AD3" w:rsidRPr="00A4303C">
              <w:rPr>
                <w:sz w:val="20"/>
                <w:szCs w:val="20"/>
              </w:rPr>
              <w:t>, tada je potrebno donijeti Akcijski plan i za poboljšanje kvalitete zraka s obzirom na PM</w:t>
            </w:r>
            <w:r w:rsidR="00CE1AD3" w:rsidRPr="0041720A">
              <w:rPr>
                <w:sz w:val="20"/>
                <w:szCs w:val="20"/>
                <w:vertAlign w:val="subscript"/>
              </w:rPr>
              <w:t>10</w:t>
            </w:r>
            <w:r w:rsidR="00CE1AD3" w:rsidRPr="00A4303C">
              <w:rPr>
                <w:sz w:val="20"/>
                <w:szCs w:val="20"/>
              </w:rPr>
              <w:t xml:space="preserve"> (uvršteno u mjere Programa zaštite zraka).</w:t>
            </w:r>
            <w:r w:rsidR="00CE1AD3" w:rsidRPr="00CE1AD3">
              <w:rPr>
                <w:sz w:val="20"/>
                <w:szCs w:val="20"/>
              </w:rPr>
              <w:t xml:space="preserve"> </w:t>
            </w:r>
          </w:p>
        </w:tc>
      </w:tr>
      <w:tr w:rsidR="00651B3E" w:rsidRPr="001478EF" w:rsidTr="00827F05">
        <w:trPr>
          <w:trHeight w:val="567"/>
          <w:jc w:val="center"/>
        </w:trPr>
        <w:tc>
          <w:tcPr>
            <w:tcW w:w="686" w:type="dxa"/>
          </w:tcPr>
          <w:p w:rsidR="00651B3E" w:rsidRPr="001478EF" w:rsidRDefault="00651B3E" w:rsidP="00827F0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Općina</w:t>
            </w:r>
          </w:p>
        </w:tc>
        <w:tc>
          <w:tcPr>
            <w:tcW w:w="1974" w:type="dxa"/>
          </w:tcPr>
          <w:p w:rsidR="00651B3E" w:rsidRPr="001478EF" w:rsidRDefault="00651B3E" w:rsidP="00651B3E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Općina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, </w:t>
            </w:r>
            <w:r w:rsidR="00EF6054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Sv. Lucija 38, </w:t>
            </w:r>
            <w:proofErr w:type="spellStart"/>
            <w:r w:rsidR="00EF6054" w:rsidRPr="001478EF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</w:p>
        </w:tc>
        <w:tc>
          <w:tcPr>
            <w:tcW w:w="1984" w:type="dxa"/>
          </w:tcPr>
          <w:p w:rsidR="00651B3E" w:rsidRPr="001478EF" w:rsidRDefault="00EF6054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Opć</w:t>
            </w:r>
            <w:r w:rsidR="00CD4CF3" w:rsidRPr="001478EF">
              <w:rPr>
                <w:rFonts w:eastAsia="SimSun" w:cs="Arial"/>
                <w:sz w:val="20"/>
                <w:szCs w:val="20"/>
                <w:lang w:eastAsia="zh-CN"/>
              </w:rPr>
              <w:t>i prijedlog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46" w:type="dxa"/>
          </w:tcPr>
          <w:p w:rsidR="00651B3E" w:rsidRPr="001478EF" w:rsidRDefault="00EF6054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Traži se produljenje javnog uvida u nacrt Programa zaštite zraka, ozonskog sloja, ublažavanja klimatskih </w:t>
            </w:r>
            <w:r w:rsidR="00BE1F8A" w:rsidRPr="001478EF">
              <w:rPr>
                <w:rFonts w:eastAsia="SimSun" w:cs="Arial"/>
                <w:sz w:val="20"/>
                <w:szCs w:val="20"/>
                <w:lang w:eastAsia="zh-CN"/>
              </w:rPr>
              <w:t>p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romjena i    prilagodbe klimatskim promjenama</w:t>
            </w:r>
            <w:r w:rsidR="00743D4B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u PGŽ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>2019.-2022.</w:t>
            </w:r>
            <w:r w:rsidR="00743D4B" w:rsidRPr="001478EF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 za petnaest dana,</w:t>
            </w:r>
            <w:r w:rsidR="00701351">
              <w:rPr>
                <w:rFonts w:eastAsia="SimSun" w:cs="Arial"/>
                <w:sz w:val="20"/>
                <w:szCs w:val="20"/>
                <w:lang w:eastAsia="zh-CN"/>
              </w:rPr>
              <w:t xml:space="preserve"> tj. do 11. rujna 2019.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>To stoga što je nacrt Programa stavljen na uvid u samom vrhuncu turističke sezone, kada većina djelatnika koristi godišnje odmore</w:t>
            </w:r>
            <w:r w:rsidR="00013997">
              <w:rPr>
                <w:rFonts w:eastAsia="SimSun" w:cs="Arial"/>
                <w:sz w:val="20"/>
                <w:szCs w:val="20"/>
                <w:lang w:eastAsia="zh-CN"/>
              </w:rPr>
              <w:t xml:space="preserve"> i kada je vrlo teško</w:t>
            </w:r>
            <w:r w:rsidR="00D82355">
              <w:rPr>
                <w:rFonts w:eastAsia="SimSun" w:cs="Arial"/>
                <w:sz w:val="20"/>
                <w:szCs w:val="20"/>
                <w:lang w:eastAsia="zh-CN"/>
              </w:rPr>
              <w:t xml:space="preserve"> sazvati općinski Odbor za pitanja zaštite okoliša</w:t>
            </w:r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 xml:space="preserve">, a dopis kojim je Općina </w:t>
            </w:r>
            <w:proofErr w:type="spellStart"/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 xml:space="preserve"> obaviještena o javnom uvidu je dostavljen tek 30. srpnja 2019., odnosno tek jedan dan nakon što je započeo javni uvid.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632" w:type="dxa"/>
          </w:tcPr>
          <w:p w:rsidR="00F14A5F" w:rsidRDefault="00F14A5F" w:rsidP="0041720A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>Nije prihvaćeno.</w:t>
            </w:r>
          </w:p>
          <w:p w:rsidR="00651B3E" w:rsidRDefault="0041720A" w:rsidP="0041720A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Člankom 16. stavkom 3. Zakona o zaštiti zraka propisano je da rok u kojem javnost može iznositi primjedbe, prijedloge i mišljenja ne može biti kraći od 30 dana od dana objave. </w:t>
            </w:r>
            <w:r w:rsidR="002133DA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 xml:space="preserve">Navedeni rok za javni uvid je </w:t>
            </w:r>
            <w:proofErr w:type="spellStart"/>
            <w:r w:rsidR="002133DA">
              <w:rPr>
                <w:rFonts w:eastAsia="SimSun" w:cs="Arial"/>
                <w:sz w:val="20"/>
                <w:szCs w:val="20"/>
                <w:lang w:eastAsia="zh-CN"/>
              </w:rPr>
              <w:t>ispoštivan</w:t>
            </w:r>
            <w:proofErr w:type="spellEnd"/>
            <w:r w:rsidR="002133DA">
              <w:rPr>
                <w:rFonts w:eastAsia="SimSun" w:cs="Arial"/>
                <w:sz w:val="20"/>
                <w:szCs w:val="20"/>
                <w:lang w:eastAsia="zh-CN"/>
              </w:rPr>
              <w:t xml:space="preserve"> budući da je on trajao 30 dana, i to od 29. srpnja do 27. kolovoza 2019. Zakonom nije predviđeno produljenje roka javnog uvida. </w:t>
            </w:r>
          </w:p>
          <w:p w:rsidR="005E469B" w:rsidRPr="001478EF" w:rsidRDefault="00EA342A" w:rsidP="00D51D4D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Osim</w:t>
            </w:r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 xml:space="preserve"> toga,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iako to nije propisano </w:t>
            </w:r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>Zakonom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, upućena je posebna pisana obavijest o početku javnog uvida svim J</w:t>
            </w:r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>LS</w:t>
            </w:r>
            <w:r w:rsidR="00492314">
              <w:rPr>
                <w:rFonts w:eastAsia="SimSun" w:cs="Arial"/>
                <w:sz w:val="20"/>
                <w:szCs w:val="20"/>
                <w:lang w:eastAsia="zh-CN"/>
              </w:rPr>
              <w:t xml:space="preserve"> na čijem je području registrirana narušena kvaliteta zraka</w:t>
            </w:r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i go</w:t>
            </w:r>
            <w:r w:rsidR="00D51D4D">
              <w:rPr>
                <w:rFonts w:eastAsia="SimSun" w:cs="Arial"/>
                <w:sz w:val="20"/>
                <w:szCs w:val="20"/>
                <w:lang w:eastAsia="zh-CN"/>
              </w:rPr>
              <w:t>spodarskim subjektima na njihovo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m područj</w:t>
            </w:r>
            <w:r w:rsidR="00D51D4D">
              <w:rPr>
                <w:rFonts w:eastAsia="SimSun" w:cs="Arial"/>
                <w:sz w:val="20"/>
                <w:szCs w:val="20"/>
                <w:lang w:eastAsia="zh-CN"/>
              </w:rPr>
              <w:t>u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, </w:t>
            </w:r>
            <w:r w:rsidR="00F308E0">
              <w:rPr>
                <w:rFonts w:eastAsia="SimSun" w:cs="Arial"/>
                <w:sz w:val="20"/>
                <w:szCs w:val="20"/>
                <w:lang w:eastAsia="zh-CN"/>
              </w:rPr>
              <w:t>u cilju postizanja što bolje kvalitete Programa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</w:p>
        </w:tc>
      </w:tr>
      <w:tr w:rsidR="00651B3E" w:rsidRPr="001478EF" w:rsidTr="00827F05">
        <w:trPr>
          <w:trHeight w:val="567"/>
          <w:jc w:val="center"/>
        </w:trPr>
        <w:tc>
          <w:tcPr>
            <w:tcW w:w="686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51B3E" w:rsidRPr="001478EF" w:rsidRDefault="00743D4B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Opć</w:t>
            </w:r>
            <w:r w:rsidR="00CD4CF3" w:rsidRPr="001478EF">
              <w:rPr>
                <w:rFonts w:eastAsia="SimSun" w:cs="Arial"/>
                <w:sz w:val="20"/>
                <w:szCs w:val="20"/>
                <w:lang w:eastAsia="zh-CN"/>
              </w:rPr>
              <w:t>i prijedlog</w:t>
            </w:r>
          </w:p>
        </w:tc>
        <w:tc>
          <w:tcPr>
            <w:tcW w:w="2046" w:type="dxa"/>
          </w:tcPr>
          <w:p w:rsidR="00651B3E" w:rsidRPr="001478EF" w:rsidRDefault="00AB4EE4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Općina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izradila je Akcijski plan za poboljšanje kvalitete zraka za područje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Urinja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s obzirom na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sumporovodik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, elaborat </w:t>
            </w:r>
            <w:r w:rsidR="00FC05AF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broj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RN/2019/0102, izrađen od DLS d.o.o. Rijeka u lipnju 2019. godine koji se dostavlja u digitalnom obliku, a koji nije uključen u nacrt Programa.  </w:t>
            </w:r>
          </w:p>
        </w:tc>
        <w:tc>
          <w:tcPr>
            <w:tcW w:w="2632" w:type="dxa"/>
          </w:tcPr>
          <w:p w:rsidR="00651B3E" w:rsidRPr="001478EF" w:rsidRDefault="00CE1AD3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Prihvaćeno. Uvršteno u Program.</w:t>
            </w:r>
          </w:p>
        </w:tc>
      </w:tr>
      <w:tr w:rsidR="00651B3E" w:rsidRPr="001478EF" w:rsidTr="00827F05">
        <w:trPr>
          <w:trHeight w:val="567"/>
          <w:jc w:val="center"/>
        </w:trPr>
        <w:tc>
          <w:tcPr>
            <w:tcW w:w="686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51B3E" w:rsidRPr="001478EF" w:rsidRDefault="00743D4B" w:rsidP="001478EF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  <w:tab w:val="left" w:pos="330"/>
              </w:tabs>
              <w:spacing w:after="120" w:line="240" w:lineRule="auto"/>
              <w:ind w:left="46" w:right="165" w:firstLine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Mjerenja posebne namjene </w:t>
            </w:r>
          </w:p>
        </w:tc>
        <w:tc>
          <w:tcPr>
            <w:tcW w:w="2046" w:type="dxa"/>
          </w:tcPr>
          <w:p w:rsidR="00651B3E" w:rsidRPr="001478EF" w:rsidRDefault="00FC05AF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Obuhvatiti </w:t>
            </w:r>
            <w:r w:rsidR="00D45AAF" w:rsidRPr="001478EF">
              <w:rPr>
                <w:rFonts w:eastAsia="SimSun" w:cs="Arial"/>
                <w:sz w:val="20"/>
                <w:szCs w:val="20"/>
                <w:lang w:eastAsia="zh-CN"/>
              </w:rPr>
              <w:t>m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jerenje onečišćujućih tvari na području </w:t>
            </w:r>
            <w:r w:rsidR="00743D4B" w:rsidRPr="001478EF">
              <w:rPr>
                <w:rFonts w:eastAsia="SimSun" w:cs="Arial"/>
                <w:sz w:val="20"/>
                <w:szCs w:val="20"/>
                <w:lang w:eastAsia="zh-CN"/>
              </w:rPr>
              <w:t>O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pćine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za sljedeće promatrano razdoblje: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sumporovodik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, lebdeće čestice PM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10,</w:t>
            </w:r>
            <w:r w:rsidR="00694D93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 xml:space="preserve">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lebdeće čestice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 xml:space="preserve">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PM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 xml:space="preserve"> 2,5,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ostalih onečišćujućih tvari za koje do sada nije vršeno mjerenje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 xml:space="preserve">  </w:t>
            </w:r>
          </w:p>
        </w:tc>
        <w:tc>
          <w:tcPr>
            <w:tcW w:w="2632" w:type="dxa"/>
          </w:tcPr>
          <w:p w:rsidR="0012621D" w:rsidRPr="00DD0021" w:rsidRDefault="00F14A5F" w:rsidP="00CE1AD3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Nije prihvaćeno.</w:t>
            </w:r>
          </w:p>
          <w:p w:rsidR="0012621D" w:rsidRPr="00DD0021" w:rsidRDefault="0012621D" w:rsidP="00CE1AD3">
            <w:pPr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12621D" w:rsidRPr="00DD0021" w:rsidRDefault="0012621D" w:rsidP="0012621D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Na području </w:t>
            </w:r>
            <w:r w:rsidR="00E1384D">
              <w:rPr>
                <w:rFonts w:eastAsia="SimSun" w:cs="Arial"/>
                <w:sz w:val="20"/>
                <w:szCs w:val="20"/>
                <w:lang w:eastAsia="zh-CN"/>
              </w:rPr>
              <w:t>O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pćine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u sklopu Županijskog programa i mjerenja posebn</w:t>
            </w:r>
            <w:r w:rsidR="0015180F"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e namjene (V. </w:t>
            </w:r>
            <w:proofErr w:type="spellStart"/>
            <w:r w:rsidR="0015180F" w:rsidRPr="00DD0021">
              <w:rPr>
                <w:rFonts w:eastAsia="SimSun" w:cs="Arial"/>
                <w:sz w:val="20"/>
                <w:szCs w:val="20"/>
                <w:lang w:eastAsia="zh-CN"/>
              </w:rPr>
              <w:t>Lenac</w:t>
            </w:r>
            <w:proofErr w:type="spellEnd"/>
            <w:r w:rsidR="0015180F"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i INA RNR) 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već se provode mjerenja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sumporovodika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(na postajama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, Vrh Martinšćice,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Paveki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Urinj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), lebdećih čestica PM</w:t>
            </w:r>
            <w:r w:rsidRPr="00E1384D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10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(Martinšćica,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Urinj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Paveki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), lebdećih čestica PM</w:t>
            </w:r>
            <w:r w:rsidRPr="00004E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 xml:space="preserve">2.5 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(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Urinj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Paveki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)</w:t>
            </w:r>
            <w:r w:rsidR="00004EEF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kao i mnogih drugih oneči</w:t>
            </w:r>
            <w:r w:rsidR="00004EEF">
              <w:rPr>
                <w:rFonts w:eastAsia="SimSun" w:cs="Arial"/>
                <w:sz w:val="20"/>
                <w:szCs w:val="20"/>
                <w:lang w:eastAsia="zh-CN"/>
              </w:rPr>
              <w:t>šćujućih tvari koje su propisane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okolišnom dozvolom (INA RNR)</w:t>
            </w:r>
            <w:r w:rsidR="00004EEF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>odnosno studijom utjecaja na okoliš (BVL)</w:t>
            </w:r>
            <w:r w:rsidR="00004EEF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</w:p>
          <w:p w:rsidR="0012621D" w:rsidRPr="00DD0021" w:rsidRDefault="0012621D" w:rsidP="0012621D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 </w:t>
            </w:r>
          </w:p>
          <w:p w:rsidR="0012621D" w:rsidRPr="00004EEF" w:rsidRDefault="0012621D" w:rsidP="0012621D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Koncentracije prizemnog ozona mjere se na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Pavekima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),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Krasici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(Bakar) i postaji državne mreže na Gornjoj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Vežici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(Rijeka-2), čime je čitavo područje </w:t>
            </w:r>
            <w:r w:rsidR="00004EEF">
              <w:rPr>
                <w:rFonts w:eastAsia="SimSun" w:cs="Arial"/>
                <w:sz w:val="20"/>
                <w:szCs w:val="20"/>
                <w:lang w:eastAsia="zh-CN"/>
              </w:rPr>
              <w:t>O</w:t>
            </w: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pćine </w:t>
            </w:r>
            <w:proofErr w:type="spellStart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>Kostrena</w:t>
            </w:r>
            <w:proofErr w:type="spellEnd"/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 dobro pokriveno tako da smatramo da nema potrebe za dodatnim mjerenjima.</w:t>
            </w:r>
          </w:p>
          <w:p w:rsidR="00651B3E" w:rsidRPr="001478EF" w:rsidRDefault="00651B3E" w:rsidP="0015180F">
            <w:pPr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651B3E" w:rsidRPr="001478EF" w:rsidTr="00827F05">
        <w:trPr>
          <w:trHeight w:val="567"/>
          <w:jc w:val="center"/>
        </w:trPr>
        <w:tc>
          <w:tcPr>
            <w:tcW w:w="686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651B3E" w:rsidRPr="001478EF" w:rsidRDefault="00651B3E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51B3E" w:rsidRPr="001478EF" w:rsidRDefault="00D105FA" w:rsidP="001478EF">
            <w:pPr>
              <w:spacing w:after="120" w:line="240" w:lineRule="auto"/>
              <w:ind w:right="732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3.  M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jerenja posebne namjene </w:t>
            </w:r>
          </w:p>
        </w:tc>
        <w:tc>
          <w:tcPr>
            <w:tcW w:w="2046" w:type="dxa"/>
          </w:tcPr>
          <w:p w:rsidR="00651B3E" w:rsidRPr="001478EF" w:rsidRDefault="00FC05AF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Na str. 28 nacrta Programa navedeno je da je monitoringom obuhvaćeno ispitivanje onečišćujućih tvari za koje na prethodnoj stranici nije navedeno da su obuhvaćene mjerenjem</w:t>
            </w:r>
            <w:r w:rsidR="00B420D8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- drugi odlomak stranice 27 - uskladiti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32" w:type="dxa"/>
          </w:tcPr>
          <w:p w:rsidR="00730E63" w:rsidRPr="00730E63" w:rsidRDefault="00730E63" w:rsidP="00A4303C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  <w:r w:rsidRPr="00730E63">
              <w:rPr>
                <w:rFonts w:eastAsia="SimSun" w:cs="Arial"/>
                <w:sz w:val="20"/>
                <w:szCs w:val="20"/>
                <w:lang w:eastAsia="zh-CN"/>
              </w:rPr>
              <w:t>Nije prihvaćeno.</w:t>
            </w:r>
          </w:p>
          <w:p w:rsidR="00651B3E" w:rsidRPr="00730E63" w:rsidRDefault="00730E63" w:rsidP="00BE004A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highlight w:val="yellow"/>
                <w:lang w:eastAsia="zh-CN"/>
              </w:rPr>
            </w:pPr>
            <w:r w:rsidRPr="00730E63">
              <w:rPr>
                <w:rFonts w:eastAsia="SimSun" w:cs="Arial"/>
                <w:sz w:val="20"/>
                <w:szCs w:val="20"/>
                <w:lang w:eastAsia="zh-CN"/>
              </w:rPr>
              <w:t>Ne radi se o istoj stvari da bi bilo potrebno usklađenje na opisani način. Naime, n</w:t>
            </w:r>
            <w:r w:rsidR="00DD0021" w:rsidRPr="00730E63">
              <w:rPr>
                <w:rFonts w:eastAsia="SimSun" w:cs="Arial"/>
                <w:sz w:val="20"/>
                <w:szCs w:val="20"/>
                <w:lang w:eastAsia="zh-CN"/>
              </w:rPr>
              <w:t xml:space="preserve">a stranici 28.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</w:t>
            </w:r>
            <w:r w:rsidR="00DD0021" w:rsidRPr="00730E63">
              <w:rPr>
                <w:rFonts w:eastAsia="SimSun" w:cs="Arial"/>
                <w:sz w:val="20"/>
                <w:szCs w:val="20"/>
                <w:lang w:eastAsia="zh-CN"/>
              </w:rPr>
              <w:t xml:space="preserve">rikazane su mjerne postaje u okviru programa praćenja posebne namjene, dok su na stranici 27. </w:t>
            </w:r>
            <w:r w:rsidR="00BE004A">
              <w:rPr>
                <w:rFonts w:eastAsia="SimSun" w:cs="Arial"/>
                <w:sz w:val="20"/>
                <w:szCs w:val="20"/>
                <w:lang w:eastAsia="zh-CN"/>
              </w:rPr>
              <w:t>p</w:t>
            </w:r>
            <w:r w:rsidR="00DD0021" w:rsidRPr="00730E63">
              <w:rPr>
                <w:rFonts w:eastAsia="SimSun" w:cs="Arial"/>
                <w:sz w:val="20"/>
                <w:szCs w:val="20"/>
                <w:lang w:eastAsia="zh-CN"/>
              </w:rPr>
              <w:t>rikazane postaje u okviru županijske mreže postaja.</w:t>
            </w:r>
            <w:r w:rsidR="00DD0021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420D8" w:rsidRPr="001478EF" w:rsidTr="00827F05">
        <w:trPr>
          <w:trHeight w:val="567"/>
          <w:jc w:val="center"/>
        </w:trPr>
        <w:tc>
          <w:tcPr>
            <w:tcW w:w="686" w:type="dxa"/>
          </w:tcPr>
          <w:p w:rsidR="00B420D8" w:rsidRPr="001478EF" w:rsidRDefault="00B420D8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B420D8" w:rsidRPr="001478EF" w:rsidRDefault="00B420D8" w:rsidP="002E5556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420D8" w:rsidRPr="001478EF" w:rsidRDefault="00E94365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Opć</w:t>
            </w:r>
            <w:r w:rsidR="00CD4CF3" w:rsidRPr="001478EF">
              <w:rPr>
                <w:rFonts w:eastAsia="SimSun" w:cs="Arial"/>
                <w:sz w:val="20"/>
                <w:szCs w:val="20"/>
                <w:lang w:eastAsia="zh-CN"/>
              </w:rPr>
              <w:t>i prijedlog</w:t>
            </w:r>
            <w:r w:rsidR="00743D4B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46" w:type="dxa"/>
          </w:tcPr>
          <w:p w:rsidR="00B420D8" w:rsidRPr="001478EF" w:rsidRDefault="00B420D8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Predvidjeti dostavu ispitanih i izmjerenih podataka jedinicama lokalne samouprave na području kojih se nalazi mjerna stanica ili na području koje se nalazi onečišćivač kojeg se nadzire.</w:t>
            </w:r>
          </w:p>
        </w:tc>
        <w:tc>
          <w:tcPr>
            <w:tcW w:w="2632" w:type="dxa"/>
          </w:tcPr>
          <w:p w:rsidR="00DD0021" w:rsidRDefault="000F15A3" w:rsidP="0012621D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Nije prihvaćeno.</w:t>
            </w:r>
          </w:p>
          <w:p w:rsidR="00DD0021" w:rsidRDefault="00DD0021" w:rsidP="0012621D">
            <w:pPr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12621D" w:rsidRPr="00DD0021" w:rsidRDefault="0012621D" w:rsidP="0012621D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t xml:space="preserve">Godišnji izvještaji INA RNR i BVL dostavljaju se općinskom načelniku svaku godinu. Objedinjeni županijski izvještaj dostupan je za preuzimanje na internetskim stranicama NZZJZ PGŽ i Primorsko-goranske županije. Pojedinačni godišnji izvještaji po naručiteljima (INA, BVL) dostupni su za preuzimanje na internetskim stranicama </w:t>
            </w:r>
            <w:r w:rsidR="000F15A3">
              <w:rPr>
                <w:rFonts w:eastAsia="SimSun" w:cs="Arial"/>
                <w:sz w:val="20"/>
                <w:szCs w:val="20"/>
                <w:lang w:eastAsia="zh-CN"/>
              </w:rPr>
              <w:t>Ministarstva zaštite okoliša i energetike.</w:t>
            </w:r>
          </w:p>
          <w:p w:rsidR="00B420D8" w:rsidRPr="001478EF" w:rsidRDefault="00B420D8" w:rsidP="00B840C1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B420D8" w:rsidRPr="001478EF" w:rsidTr="00827F05">
        <w:trPr>
          <w:trHeight w:val="567"/>
          <w:jc w:val="center"/>
        </w:trPr>
        <w:tc>
          <w:tcPr>
            <w:tcW w:w="686" w:type="dxa"/>
          </w:tcPr>
          <w:p w:rsidR="00B420D8" w:rsidRPr="001478EF" w:rsidRDefault="00B420D8" w:rsidP="00A83197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</w:tcPr>
          <w:p w:rsidR="00B420D8" w:rsidRPr="001478EF" w:rsidRDefault="00B420D8" w:rsidP="00A83197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B420D8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Tablica 3.10 Sumarni statistički podaci koncentracija O</w:t>
            </w:r>
            <w:r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3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(µg/m</w:t>
            </w:r>
            <w:r w:rsidRPr="001478EF">
              <w:rPr>
                <w:rFonts w:eastAsia="SimSun" w:cs="Arial"/>
                <w:sz w:val="20"/>
                <w:szCs w:val="20"/>
                <w:vertAlign w:val="superscript"/>
                <w:lang w:eastAsia="zh-CN"/>
              </w:rPr>
              <w:t>3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) u zraku</w:t>
            </w:r>
          </w:p>
          <w:p w:rsidR="00CC48E1" w:rsidRPr="001478EF" w:rsidRDefault="000502D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i</w:t>
            </w:r>
          </w:p>
          <w:p w:rsidR="000502D1" w:rsidRPr="001478EF" w:rsidRDefault="000502D1" w:rsidP="000502D1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 xml:space="preserve">Tablica 3.8 Popis mjernih postaja za praćenje kvalitete zraka na području PGŽ unutar razdoblja od 2014. do 2018. godine </w:t>
            </w:r>
          </w:p>
          <w:p w:rsidR="00CC48E1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Pr="001478EF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Default="00CC48E1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827F05" w:rsidRDefault="00827F05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827F05" w:rsidRPr="001478EF" w:rsidRDefault="00827F05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CC48E1" w:rsidRPr="001478EF" w:rsidRDefault="00CC48E1" w:rsidP="000502D1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:rsidR="00B420D8" w:rsidRPr="001478EF" w:rsidRDefault="00B420D8" w:rsidP="001478EF">
            <w:pPr>
              <w:spacing w:after="12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 xml:space="preserve">Obzirom da su Brodogradilište Viktor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Lenac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i 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>I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na Rafinerija nafte Rijeka apostrofirani kao područja u Županiji s „najvećim izvorom emisija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 xml:space="preserve">dušikovih i hlapljivih organskih spojeva“ (str. 38 nacrta Programa), trebalo bi 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>u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tablici 3.10 osim lokacije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Paveki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u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Kostreni</w:t>
            </w:r>
            <w:proofErr w:type="spellEnd"/>
            <w:r w:rsidR="00827F05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uključiti i područja uz Bro</w:t>
            </w:r>
            <w:r w:rsidR="00827F05">
              <w:rPr>
                <w:rFonts w:eastAsia="SimSun" w:cs="Arial"/>
                <w:sz w:val="20"/>
                <w:szCs w:val="20"/>
                <w:lang w:eastAsia="zh-CN"/>
              </w:rPr>
              <w:t>d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ogradilište Viktor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Lenac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– predvidjeti mjerenje koncentracija ozona na t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>i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m područjima</w:t>
            </w:r>
            <w:r w:rsidR="00CC48E1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, 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- prema tabeli 3.8 mjerna stanica na Vrhu Martinšćice u </w:t>
            </w:r>
            <w:proofErr w:type="spellStart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>Kostreni</w:t>
            </w:r>
            <w:proofErr w:type="spellEnd"/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mjeri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samo lebdeće čestice PM</w:t>
            </w:r>
            <w:r w:rsidR="000A50CC"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10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827F05">
              <w:rPr>
                <w:rFonts w:eastAsia="SimSun" w:cs="Arial"/>
                <w:sz w:val="20"/>
                <w:szCs w:val="20"/>
                <w:lang w:eastAsia="zh-CN"/>
              </w:rPr>
              <w:t>(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>zašto ne i one manjeg promjera PM</w:t>
            </w:r>
            <w:r w:rsidR="000A50CC" w:rsidRPr="001478EF">
              <w:rPr>
                <w:rFonts w:eastAsia="SimSun" w:cs="Arial"/>
                <w:sz w:val="20"/>
                <w:szCs w:val="20"/>
                <w:vertAlign w:val="subscript"/>
                <w:lang w:eastAsia="zh-CN"/>
              </w:rPr>
              <w:t>2,5</w:t>
            </w:r>
            <w:r w:rsidR="00827F05" w:rsidRPr="00827F05">
              <w:rPr>
                <w:rFonts w:eastAsia="SimSun" w:cs="Arial"/>
                <w:sz w:val="20"/>
                <w:szCs w:val="20"/>
                <w:lang w:eastAsia="zh-CN"/>
              </w:rPr>
              <w:t>?)</w:t>
            </w:r>
            <w:r w:rsidR="000A50CC" w:rsidRPr="001478EF">
              <w:rPr>
                <w:rFonts w:eastAsia="SimSun" w:cs="Arial"/>
                <w:sz w:val="20"/>
                <w:szCs w:val="20"/>
                <w:lang w:eastAsia="zh-CN"/>
              </w:rPr>
              <w:t>, te ukupne taložne tvari UTT i metale</w:t>
            </w:r>
            <w:r w:rsidRPr="001478EF">
              <w:rPr>
                <w:rFonts w:eastAsia="SimSun" w:cs="Arial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2632" w:type="dxa"/>
          </w:tcPr>
          <w:p w:rsidR="00DD0021" w:rsidRDefault="00DD0021" w:rsidP="00DD0021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 w:rsidRPr="00DD0021">
              <w:rPr>
                <w:rFonts w:eastAsia="SimSun" w:cs="Arial"/>
                <w:sz w:val="20"/>
                <w:szCs w:val="20"/>
                <w:lang w:eastAsia="zh-CN"/>
              </w:rPr>
              <w:lastRenderedPageBreak/>
              <w:t>Nije prihvaćeno</w:t>
            </w:r>
            <w:r w:rsidR="000F15A3">
              <w:rPr>
                <w:rFonts w:eastAsia="SimSun" w:cs="Arial"/>
                <w:sz w:val="20"/>
                <w:szCs w:val="20"/>
                <w:lang w:eastAsia="zh-CN"/>
              </w:rPr>
              <w:t>.</w:t>
            </w:r>
          </w:p>
          <w:p w:rsidR="000F15A3" w:rsidRDefault="000F15A3" w:rsidP="00DD0021">
            <w:pPr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A4303C" w:rsidRPr="00DD0021" w:rsidRDefault="000F15A3" w:rsidP="00DD0021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Obrazloženje neprihvaćanje je isto kao i kod obrazloženja za dio Nacrta Programa koji se odnosi na „</w:t>
            </w:r>
            <w:r w:rsidR="00A4303C">
              <w:rPr>
                <w:rFonts w:eastAsia="SimSun" w:cs="Arial"/>
                <w:sz w:val="20"/>
                <w:szCs w:val="20"/>
                <w:lang w:eastAsia="zh-CN"/>
              </w:rPr>
              <w:t>4. Mjerenja posebne namjene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“.</w:t>
            </w:r>
          </w:p>
          <w:p w:rsidR="00DD0021" w:rsidRPr="00DD0021" w:rsidRDefault="00DD0021" w:rsidP="00DD0021">
            <w:pPr>
              <w:rPr>
                <w:rFonts w:eastAsia="SimSun" w:cs="Arial"/>
                <w:sz w:val="20"/>
                <w:szCs w:val="20"/>
                <w:lang w:eastAsia="zh-CN"/>
              </w:rPr>
            </w:pPr>
          </w:p>
          <w:p w:rsidR="00DD0021" w:rsidRPr="001478EF" w:rsidRDefault="00DD0021" w:rsidP="00A83197">
            <w:pPr>
              <w:spacing w:after="120" w:line="240" w:lineRule="auto"/>
              <w:jc w:val="both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:rsidR="00B17652" w:rsidRDefault="00B17652" w:rsidP="00A83197">
      <w:pPr>
        <w:jc w:val="both"/>
      </w:pPr>
    </w:p>
    <w:p w:rsidR="00D60373" w:rsidRDefault="00D60373" w:rsidP="00A83197">
      <w:pPr>
        <w:jc w:val="both"/>
      </w:pPr>
    </w:p>
    <w:sectPr w:rsidR="00D60373" w:rsidSect="00B704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F1" w:rsidRDefault="005354F1">
      <w:pPr>
        <w:spacing w:line="240" w:lineRule="auto"/>
      </w:pPr>
      <w:r>
        <w:separator/>
      </w:r>
    </w:p>
  </w:endnote>
  <w:endnote w:type="continuationSeparator" w:id="0">
    <w:p w:rsidR="005354F1" w:rsidRDefault="00535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F1" w:rsidRDefault="005354F1">
      <w:pPr>
        <w:spacing w:line="240" w:lineRule="auto"/>
      </w:pPr>
      <w:r>
        <w:separator/>
      </w:r>
    </w:p>
  </w:footnote>
  <w:footnote w:type="continuationSeparator" w:id="0">
    <w:p w:rsidR="005354F1" w:rsidRDefault="00535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1D" w:rsidRDefault="005354F1" w:rsidP="00AB2B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976"/>
    <w:multiLevelType w:val="hybridMultilevel"/>
    <w:tmpl w:val="9F980444"/>
    <w:lvl w:ilvl="0" w:tplc="58DED0B0">
      <w:start w:val="1"/>
      <w:numFmt w:val="decimal"/>
      <w:lvlText w:val="%1)"/>
      <w:lvlJc w:val="left"/>
      <w:pPr>
        <w:ind w:left="720" w:hanging="360"/>
      </w:pPr>
      <w:rPr>
        <w:rFonts w:eastAsia="SimSun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29AE"/>
    <w:multiLevelType w:val="hybridMultilevel"/>
    <w:tmpl w:val="8F2E4F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2"/>
    <w:rsid w:val="00004A9E"/>
    <w:rsid w:val="00004EEF"/>
    <w:rsid w:val="00005DD7"/>
    <w:rsid w:val="00013997"/>
    <w:rsid w:val="00030377"/>
    <w:rsid w:val="0003794B"/>
    <w:rsid w:val="000502D1"/>
    <w:rsid w:val="00062715"/>
    <w:rsid w:val="000A50CC"/>
    <w:rsid w:val="000E0759"/>
    <w:rsid w:val="000E2D30"/>
    <w:rsid w:val="000F15A3"/>
    <w:rsid w:val="00123B6D"/>
    <w:rsid w:val="0012621D"/>
    <w:rsid w:val="001478EF"/>
    <w:rsid w:val="0015180F"/>
    <w:rsid w:val="001755D7"/>
    <w:rsid w:val="001A36E1"/>
    <w:rsid w:val="001C2897"/>
    <w:rsid w:val="001E4DB0"/>
    <w:rsid w:val="001E5350"/>
    <w:rsid w:val="00200E73"/>
    <w:rsid w:val="002133DA"/>
    <w:rsid w:val="002319BF"/>
    <w:rsid w:val="00241ABD"/>
    <w:rsid w:val="00251363"/>
    <w:rsid w:val="00254A64"/>
    <w:rsid w:val="00272F7C"/>
    <w:rsid w:val="002913CC"/>
    <w:rsid w:val="002C180D"/>
    <w:rsid w:val="002C54F4"/>
    <w:rsid w:val="002D63A3"/>
    <w:rsid w:val="00315FFD"/>
    <w:rsid w:val="003312AA"/>
    <w:rsid w:val="00335F78"/>
    <w:rsid w:val="00340B59"/>
    <w:rsid w:val="00367018"/>
    <w:rsid w:val="003717AE"/>
    <w:rsid w:val="003A2436"/>
    <w:rsid w:val="003B19C8"/>
    <w:rsid w:val="003D3963"/>
    <w:rsid w:val="0041720A"/>
    <w:rsid w:val="004240A0"/>
    <w:rsid w:val="004342D6"/>
    <w:rsid w:val="00434310"/>
    <w:rsid w:val="004369FD"/>
    <w:rsid w:val="00437F60"/>
    <w:rsid w:val="00472DFC"/>
    <w:rsid w:val="00492314"/>
    <w:rsid w:val="004D34D9"/>
    <w:rsid w:val="004E3845"/>
    <w:rsid w:val="00521D67"/>
    <w:rsid w:val="005354F1"/>
    <w:rsid w:val="0053664B"/>
    <w:rsid w:val="00564900"/>
    <w:rsid w:val="0059024C"/>
    <w:rsid w:val="005B22FA"/>
    <w:rsid w:val="005B29B2"/>
    <w:rsid w:val="005D450F"/>
    <w:rsid w:val="005E469B"/>
    <w:rsid w:val="00617F72"/>
    <w:rsid w:val="00651B3E"/>
    <w:rsid w:val="00652DD3"/>
    <w:rsid w:val="00665C25"/>
    <w:rsid w:val="006822C8"/>
    <w:rsid w:val="00694D93"/>
    <w:rsid w:val="006C682D"/>
    <w:rsid w:val="006F563F"/>
    <w:rsid w:val="00701351"/>
    <w:rsid w:val="00730E63"/>
    <w:rsid w:val="00743161"/>
    <w:rsid w:val="00743D4B"/>
    <w:rsid w:val="007F1E8E"/>
    <w:rsid w:val="00827F05"/>
    <w:rsid w:val="00846865"/>
    <w:rsid w:val="008729E5"/>
    <w:rsid w:val="00875984"/>
    <w:rsid w:val="008C2563"/>
    <w:rsid w:val="008D223D"/>
    <w:rsid w:val="008F3044"/>
    <w:rsid w:val="009320F8"/>
    <w:rsid w:val="009F02BF"/>
    <w:rsid w:val="00A4303C"/>
    <w:rsid w:val="00A83197"/>
    <w:rsid w:val="00AB3B57"/>
    <w:rsid w:val="00AB4EE4"/>
    <w:rsid w:val="00AC05EF"/>
    <w:rsid w:val="00AC51C6"/>
    <w:rsid w:val="00B17652"/>
    <w:rsid w:val="00B420D8"/>
    <w:rsid w:val="00B81AC9"/>
    <w:rsid w:val="00B840C1"/>
    <w:rsid w:val="00BC7984"/>
    <w:rsid w:val="00BE004A"/>
    <w:rsid w:val="00BE1F8A"/>
    <w:rsid w:val="00BE675E"/>
    <w:rsid w:val="00C054B1"/>
    <w:rsid w:val="00C24C6B"/>
    <w:rsid w:val="00C25006"/>
    <w:rsid w:val="00C519D2"/>
    <w:rsid w:val="00C55CDB"/>
    <w:rsid w:val="00C80B8D"/>
    <w:rsid w:val="00C900A3"/>
    <w:rsid w:val="00C93D4F"/>
    <w:rsid w:val="00CB653D"/>
    <w:rsid w:val="00CC48E1"/>
    <w:rsid w:val="00CD4CF3"/>
    <w:rsid w:val="00CE1AD3"/>
    <w:rsid w:val="00D105FA"/>
    <w:rsid w:val="00D45AAF"/>
    <w:rsid w:val="00D51D4D"/>
    <w:rsid w:val="00D60373"/>
    <w:rsid w:val="00D812AF"/>
    <w:rsid w:val="00D82355"/>
    <w:rsid w:val="00D8722D"/>
    <w:rsid w:val="00DB05BC"/>
    <w:rsid w:val="00DD0021"/>
    <w:rsid w:val="00DD6ED5"/>
    <w:rsid w:val="00E1384D"/>
    <w:rsid w:val="00E174C2"/>
    <w:rsid w:val="00E30D49"/>
    <w:rsid w:val="00E60563"/>
    <w:rsid w:val="00E94365"/>
    <w:rsid w:val="00EA1BE9"/>
    <w:rsid w:val="00EA342A"/>
    <w:rsid w:val="00EB3622"/>
    <w:rsid w:val="00EC1201"/>
    <w:rsid w:val="00EF6054"/>
    <w:rsid w:val="00F14A5F"/>
    <w:rsid w:val="00F308E0"/>
    <w:rsid w:val="00F85E2A"/>
    <w:rsid w:val="00F87A1A"/>
    <w:rsid w:val="00FA0184"/>
    <w:rsid w:val="00FB38BD"/>
    <w:rsid w:val="00FC05AF"/>
    <w:rsid w:val="00FC0AB3"/>
    <w:rsid w:val="00FC2960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58A8"/>
  <w15:docId w15:val="{D9F09392-C169-446E-B5DB-1BA05BE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character" w:styleId="Hyperlink">
    <w:name w:val="Hyperlink"/>
    <w:basedOn w:val="DefaultParagraphFont"/>
    <w:uiPriority w:val="99"/>
    <w:unhideWhenUsed/>
    <w:rsid w:val="00272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z.hr/Dokumenti/Savjetovanja_s_javnosc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3AD9-689C-4655-83B2-5A5A966E8C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E83281-AC52-4206-B282-0B571407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1895-F644-45D5-BEF2-05909038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77FD59-3258-4A9C-974C-1A1B5730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 uz Pravilnik za savjetovanje s javnošću</vt:lpstr>
    </vt:vector>
  </TitlesOfParts>
  <Company>HP Inc.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uz Pravilnik za savjetovanje s javnošću</dc:title>
  <dc:creator>Martina Požarić</dc:creator>
  <cp:lastModifiedBy>Ena Srdoč Grozdanić</cp:lastModifiedBy>
  <cp:revision>51</cp:revision>
  <cp:lastPrinted>2019-08-28T08:25:00Z</cp:lastPrinted>
  <dcterms:created xsi:type="dcterms:W3CDTF">2019-08-30T07:23:00Z</dcterms:created>
  <dcterms:modified xsi:type="dcterms:W3CDTF">2019-08-30T11:51:00Z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